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5BA4" w:rsidRDefault="00A25BA4" w:rsidP="00A25BA4">
      <w:pPr>
        <w:spacing w:line="480" w:lineRule="auto"/>
        <w:jc w:val="center"/>
        <w:rPr>
          <w:rFonts w:ascii="Times New Roman" w:hAnsi="Times New Roman" w:cs="Times New Roman"/>
          <w:sz w:val="24"/>
          <w:szCs w:val="24"/>
        </w:rPr>
      </w:pPr>
    </w:p>
    <w:p w:rsidR="00A25BA4" w:rsidRDefault="00A25BA4" w:rsidP="00A25BA4">
      <w:pPr>
        <w:spacing w:line="480" w:lineRule="auto"/>
        <w:jc w:val="center"/>
        <w:rPr>
          <w:rFonts w:ascii="Times New Roman" w:hAnsi="Times New Roman" w:cs="Times New Roman"/>
          <w:sz w:val="24"/>
          <w:szCs w:val="24"/>
        </w:rPr>
      </w:pPr>
    </w:p>
    <w:p w:rsidR="00A25BA4" w:rsidRDefault="00A25BA4" w:rsidP="00A25BA4">
      <w:pPr>
        <w:spacing w:line="480" w:lineRule="auto"/>
        <w:jc w:val="center"/>
        <w:rPr>
          <w:rFonts w:ascii="Times New Roman" w:hAnsi="Times New Roman" w:cs="Times New Roman"/>
          <w:sz w:val="24"/>
          <w:szCs w:val="24"/>
        </w:rPr>
      </w:pPr>
    </w:p>
    <w:p w:rsidR="00A25BA4" w:rsidRDefault="00A25BA4" w:rsidP="00A25BA4">
      <w:pPr>
        <w:spacing w:line="480" w:lineRule="auto"/>
        <w:jc w:val="center"/>
        <w:rPr>
          <w:rFonts w:ascii="Times New Roman" w:hAnsi="Times New Roman" w:cs="Times New Roman"/>
          <w:sz w:val="24"/>
          <w:szCs w:val="24"/>
        </w:rPr>
      </w:pPr>
    </w:p>
    <w:p w:rsidR="00A25BA4" w:rsidRDefault="00A25BA4" w:rsidP="00A25BA4">
      <w:pPr>
        <w:spacing w:line="480" w:lineRule="auto"/>
        <w:jc w:val="center"/>
        <w:rPr>
          <w:rFonts w:ascii="Times New Roman" w:hAnsi="Times New Roman" w:cs="Times New Roman"/>
          <w:sz w:val="24"/>
          <w:szCs w:val="24"/>
        </w:rPr>
      </w:pPr>
    </w:p>
    <w:p w:rsidR="00A25BA4" w:rsidRDefault="00A25BA4" w:rsidP="00A25BA4">
      <w:pPr>
        <w:spacing w:line="480" w:lineRule="auto"/>
        <w:jc w:val="center"/>
        <w:rPr>
          <w:rFonts w:ascii="Times New Roman" w:hAnsi="Times New Roman" w:cs="Times New Roman"/>
          <w:sz w:val="24"/>
          <w:szCs w:val="24"/>
        </w:rPr>
      </w:pPr>
    </w:p>
    <w:p w:rsidR="00A25BA4" w:rsidRPr="00A25BA4" w:rsidRDefault="00A25BA4" w:rsidP="00A25BA4">
      <w:pPr>
        <w:spacing w:line="480" w:lineRule="auto"/>
        <w:jc w:val="center"/>
        <w:rPr>
          <w:rFonts w:ascii="Times New Roman" w:hAnsi="Times New Roman" w:cs="Times New Roman"/>
          <w:sz w:val="24"/>
          <w:szCs w:val="24"/>
        </w:rPr>
      </w:pPr>
      <w:r w:rsidRPr="00A25BA4">
        <w:rPr>
          <w:rFonts w:ascii="Times New Roman" w:hAnsi="Times New Roman" w:cs="Times New Roman"/>
          <w:sz w:val="24"/>
          <w:szCs w:val="24"/>
        </w:rPr>
        <w:t>Health Policy</w:t>
      </w:r>
    </w:p>
    <w:p w:rsidR="00A25BA4" w:rsidRPr="00A25BA4" w:rsidRDefault="00A25BA4" w:rsidP="00A25BA4">
      <w:pPr>
        <w:spacing w:line="480" w:lineRule="auto"/>
        <w:jc w:val="center"/>
        <w:rPr>
          <w:rFonts w:ascii="Times New Roman" w:hAnsi="Times New Roman" w:cs="Times New Roman"/>
          <w:sz w:val="24"/>
          <w:szCs w:val="24"/>
        </w:rPr>
      </w:pPr>
      <w:r w:rsidRPr="00A25BA4">
        <w:rPr>
          <w:rFonts w:ascii="Times New Roman" w:hAnsi="Times New Roman" w:cs="Times New Roman"/>
          <w:sz w:val="24"/>
          <w:szCs w:val="24"/>
        </w:rPr>
        <w:t>Name</w:t>
      </w:r>
    </w:p>
    <w:p w:rsidR="00A25BA4" w:rsidRPr="00A25BA4" w:rsidRDefault="00A25BA4" w:rsidP="00A25BA4">
      <w:pPr>
        <w:spacing w:line="480" w:lineRule="auto"/>
        <w:jc w:val="center"/>
        <w:rPr>
          <w:rFonts w:ascii="Times New Roman" w:hAnsi="Times New Roman" w:cs="Times New Roman"/>
          <w:sz w:val="24"/>
          <w:szCs w:val="24"/>
        </w:rPr>
      </w:pPr>
      <w:r w:rsidRPr="00A25BA4">
        <w:rPr>
          <w:rFonts w:ascii="Times New Roman" w:hAnsi="Times New Roman" w:cs="Times New Roman"/>
          <w:sz w:val="24"/>
          <w:szCs w:val="24"/>
        </w:rPr>
        <w:t>Institution</w:t>
      </w:r>
    </w:p>
    <w:p w:rsidR="00A25BA4" w:rsidRDefault="00A25BA4" w:rsidP="00A25BA4">
      <w:pPr>
        <w:spacing w:line="480" w:lineRule="auto"/>
        <w:jc w:val="center"/>
        <w:rPr>
          <w:rFonts w:ascii="Times New Roman" w:hAnsi="Times New Roman" w:cs="Times New Roman"/>
          <w:sz w:val="24"/>
          <w:szCs w:val="24"/>
        </w:rPr>
      </w:pPr>
      <w:r w:rsidRPr="00A25BA4">
        <w:rPr>
          <w:rFonts w:ascii="Times New Roman" w:hAnsi="Times New Roman" w:cs="Times New Roman"/>
          <w:sz w:val="24"/>
          <w:szCs w:val="24"/>
        </w:rPr>
        <w:t>Date</w:t>
      </w:r>
    </w:p>
    <w:p w:rsidR="00A25BA4" w:rsidRDefault="00A25BA4" w:rsidP="00A25BA4">
      <w:pPr>
        <w:spacing w:line="480" w:lineRule="auto"/>
        <w:jc w:val="center"/>
        <w:rPr>
          <w:rFonts w:ascii="Times New Roman" w:hAnsi="Times New Roman" w:cs="Times New Roman"/>
          <w:sz w:val="24"/>
          <w:szCs w:val="24"/>
        </w:rPr>
      </w:pPr>
    </w:p>
    <w:p w:rsidR="00A25BA4" w:rsidRDefault="00A25BA4" w:rsidP="00A25BA4">
      <w:pPr>
        <w:spacing w:line="480" w:lineRule="auto"/>
        <w:jc w:val="center"/>
        <w:rPr>
          <w:rFonts w:ascii="Times New Roman" w:hAnsi="Times New Roman" w:cs="Times New Roman"/>
          <w:sz w:val="24"/>
          <w:szCs w:val="24"/>
        </w:rPr>
      </w:pPr>
    </w:p>
    <w:p w:rsidR="00A25BA4" w:rsidRDefault="00A25BA4" w:rsidP="00A25BA4">
      <w:pPr>
        <w:spacing w:line="480" w:lineRule="auto"/>
        <w:jc w:val="center"/>
        <w:rPr>
          <w:rFonts w:ascii="Times New Roman" w:hAnsi="Times New Roman" w:cs="Times New Roman"/>
          <w:sz w:val="24"/>
          <w:szCs w:val="24"/>
        </w:rPr>
      </w:pPr>
    </w:p>
    <w:p w:rsidR="00A25BA4" w:rsidRDefault="00A25BA4" w:rsidP="00A25BA4">
      <w:pPr>
        <w:spacing w:line="480" w:lineRule="auto"/>
        <w:jc w:val="center"/>
        <w:rPr>
          <w:rFonts w:ascii="Times New Roman" w:hAnsi="Times New Roman" w:cs="Times New Roman"/>
          <w:sz w:val="24"/>
          <w:szCs w:val="24"/>
        </w:rPr>
      </w:pPr>
    </w:p>
    <w:p w:rsidR="00A25BA4" w:rsidRDefault="00A25BA4" w:rsidP="00A25BA4">
      <w:pPr>
        <w:spacing w:line="480" w:lineRule="auto"/>
        <w:jc w:val="center"/>
        <w:rPr>
          <w:rFonts w:ascii="Times New Roman" w:hAnsi="Times New Roman" w:cs="Times New Roman"/>
          <w:sz w:val="24"/>
          <w:szCs w:val="24"/>
        </w:rPr>
      </w:pPr>
    </w:p>
    <w:p w:rsidR="00A25BA4" w:rsidRDefault="00A25BA4" w:rsidP="00A25BA4">
      <w:pPr>
        <w:spacing w:line="480" w:lineRule="auto"/>
        <w:jc w:val="center"/>
        <w:rPr>
          <w:rFonts w:ascii="Times New Roman" w:hAnsi="Times New Roman" w:cs="Times New Roman"/>
          <w:sz w:val="24"/>
          <w:szCs w:val="24"/>
        </w:rPr>
      </w:pPr>
    </w:p>
    <w:p w:rsidR="00A25BA4" w:rsidRDefault="00A25BA4" w:rsidP="00A25BA4">
      <w:pPr>
        <w:spacing w:line="480" w:lineRule="auto"/>
        <w:jc w:val="center"/>
        <w:rPr>
          <w:rFonts w:ascii="Times New Roman" w:hAnsi="Times New Roman" w:cs="Times New Roman"/>
          <w:sz w:val="24"/>
          <w:szCs w:val="24"/>
        </w:rPr>
      </w:pPr>
    </w:p>
    <w:p w:rsidR="00A25BA4" w:rsidRPr="00A25BA4" w:rsidRDefault="00A25BA4" w:rsidP="00A25BA4">
      <w:pPr>
        <w:spacing w:line="480" w:lineRule="auto"/>
        <w:jc w:val="center"/>
        <w:rPr>
          <w:rFonts w:ascii="Times New Roman" w:hAnsi="Times New Roman" w:cs="Times New Roman"/>
          <w:sz w:val="24"/>
          <w:szCs w:val="24"/>
        </w:rPr>
      </w:pPr>
    </w:p>
    <w:p w:rsidR="00A25BA4" w:rsidRDefault="00A25BA4" w:rsidP="00A25BA4">
      <w:pPr>
        <w:spacing w:line="480" w:lineRule="auto"/>
        <w:ind w:firstLine="720"/>
        <w:rPr>
          <w:rFonts w:ascii="Times New Roman" w:hAnsi="Times New Roman" w:cs="Times New Roman"/>
          <w:sz w:val="24"/>
          <w:szCs w:val="24"/>
        </w:rPr>
      </w:pPr>
    </w:p>
    <w:p w:rsidR="00A25BA4" w:rsidRDefault="00A25BA4" w:rsidP="00A25BA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Health Policy</w:t>
      </w:r>
    </w:p>
    <w:p w:rsidR="000D3D37" w:rsidRPr="000D3D37" w:rsidRDefault="000D3D37" w:rsidP="000D3D37">
      <w:pPr>
        <w:spacing w:line="480" w:lineRule="auto"/>
        <w:ind w:firstLine="720"/>
        <w:rPr>
          <w:rFonts w:ascii="Times New Roman" w:hAnsi="Times New Roman" w:cs="Times New Roman"/>
          <w:sz w:val="24"/>
          <w:szCs w:val="24"/>
        </w:rPr>
      </w:pPr>
      <w:r w:rsidRPr="000D3D37">
        <w:rPr>
          <w:rFonts w:ascii="Times New Roman" w:hAnsi="Times New Roman" w:cs="Times New Roman"/>
          <w:sz w:val="24"/>
          <w:szCs w:val="24"/>
        </w:rPr>
        <w:t>One critical health policy that has been implemented is the prohibition policy on smoking, alcohol, and drugs in the workplace. Prohibition of tobacco, illicit drugs, and alcohol usage in a workplace tend to interfere with the efficiency and productivity of employees thus impairing their performance.</w:t>
      </w:r>
    </w:p>
    <w:p w:rsidR="000D3D37" w:rsidRPr="000D3D37" w:rsidRDefault="000D3D37" w:rsidP="000D3D37">
      <w:pPr>
        <w:spacing w:line="480" w:lineRule="auto"/>
        <w:ind w:firstLine="720"/>
        <w:rPr>
          <w:rFonts w:ascii="Times New Roman" w:hAnsi="Times New Roman" w:cs="Times New Roman"/>
          <w:sz w:val="24"/>
          <w:szCs w:val="24"/>
        </w:rPr>
      </w:pPr>
      <w:r w:rsidRPr="000D3D37">
        <w:rPr>
          <w:rFonts w:ascii="Times New Roman" w:hAnsi="Times New Roman" w:cs="Times New Roman"/>
          <w:sz w:val="24"/>
          <w:szCs w:val="24"/>
        </w:rPr>
        <w:t>Law was used as a public policy instrument to prohibit drugs and alcohol at workplaces. The federal laws provide guidelines on the employer's policies to prohibit and regulate the use of drugs (Pidd, 2016). The regulations are listed and clarified in every organization's drug abuse as well as prevention policy. The set guidelines in the health policy involved information on when an organization tests for alcohol and drugs and the consequences of failing a drug test. The Rehabilitation Act of 1973 affects alcohol and drug policies since it holds statutes policies related to employees who have issues with drugs and alcohol (Pidd, 2016). Employers are given the authority to conduct pre-employment testing to restrict candidates from drug use. However, every employee or candidate should be treated in an equal manner.</w:t>
      </w:r>
    </w:p>
    <w:p w:rsidR="000D3D37" w:rsidRPr="000D3D37" w:rsidRDefault="000D3D37" w:rsidP="000D3D37">
      <w:pPr>
        <w:spacing w:line="480" w:lineRule="auto"/>
        <w:ind w:firstLine="720"/>
        <w:rPr>
          <w:rFonts w:ascii="Times New Roman" w:hAnsi="Times New Roman" w:cs="Times New Roman"/>
          <w:sz w:val="24"/>
          <w:szCs w:val="24"/>
        </w:rPr>
      </w:pPr>
      <w:r w:rsidRPr="000D3D37">
        <w:rPr>
          <w:rFonts w:ascii="Times New Roman" w:hAnsi="Times New Roman" w:cs="Times New Roman"/>
          <w:sz w:val="24"/>
          <w:szCs w:val="24"/>
        </w:rPr>
        <w:t xml:space="preserve">As Young (2013) argue, the Pete Domenici Mental Health Parity and Addiction Equity Act of 2008 mandate the provision of citizens with that health care plans inclusive of substance abuse disorder services. These policies are meant to govern the plans of the employer by designating the essential ways to avoid drug and alcohol abuse in the workplace (Young, 2013). Most American States require employers to make verifications on the rationale for testing the employed workers in regards to drug substances. Therefore, employers these states are required to have reasonable suspicion that the employees are abusing alcohol and drugs and that work performance or safety has been put at stake or </w:t>
      </w:r>
      <w:r w:rsidRPr="000D3D37">
        <w:rPr>
          <w:rFonts w:ascii="Times New Roman" w:hAnsi="Times New Roman" w:cs="Times New Roman"/>
          <w:sz w:val="24"/>
          <w:szCs w:val="24"/>
        </w:rPr>
        <w:lastRenderedPageBreak/>
        <w:t>compromised (Young, 2013). This ensures that workers work under health working environments and that the employee's health is protected.</w:t>
      </w:r>
    </w:p>
    <w:p w:rsidR="000D3D37" w:rsidRPr="000D3D37" w:rsidRDefault="000D3D37" w:rsidP="000D3D37">
      <w:pPr>
        <w:spacing w:line="480" w:lineRule="auto"/>
        <w:ind w:firstLine="720"/>
        <w:rPr>
          <w:rFonts w:ascii="Times New Roman" w:hAnsi="Times New Roman" w:cs="Times New Roman"/>
          <w:sz w:val="24"/>
          <w:szCs w:val="24"/>
        </w:rPr>
      </w:pPr>
      <w:r w:rsidRPr="000D3D37">
        <w:rPr>
          <w:rFonts w:ascii="Times New Roman" w:hAnsi="Times New Roman" w:cs="Times New Roman"/>
          <w:sz w:val="24"/>
          <w:szCs w:val="24"/>
        </w:rPr>
        <w:t>The law instrument used to implement the health policy is appropriate because it covers the drug and alcohol abuse policies, rules and regulations at workplaces. Law instrument has developed a model which is pertinent to the public health consequences of workplace policies thus barring employees from drug and alcohol abuse. The law instrument was appropriate because it has ensured that employees adopt a healthier lifestyle by helping others to avoid the use of drugs. The legislation that prohibits drug use at the workplace has encouraged health promotion strategies. It has become increasingly common for employers to offer support for healthy lifestyles for their employees such as fitness facilities. Moreover, employers have been able to develop strategic models of positive and negative effects on employee's health of workplace policies preventing employment to a drug abuser.</w:t>
      </w:r>
    </w:p>
    <w:p w:rsidR="000D3D37" w:rsidRPr="000D3D37" w:rsidRDefault="000D3D37" w:rsidP="000D3D37">
      <w:pPr>
        <w:spacing w:line="480" w:lineRule="auto"/>
        <w:ind w:firstLine="720"/>
        <w:rPr>
          <w:rFonts w:ascii="Times New Roman" w:hAnsi="Times New Roman" w:cs="Times New Roman"/>
          <w:sz w:val="24"/>
          <w:szCs w:val="24"/>
        </w:rPr>
      </w:pPr>
      <w:r w:rsidRPr="000D3D37">
        <w:rPr>
          <w:rFonts w:ascii="Times New Roman" w:hAnsi="Times New Roman" w:cs="Times New Roman"/>
          <w:sz w:val="24"/>
          <w:szCs w:val="24"/>
        </w:rPr>
        <w:t>Law instrument has engaged the public community in evaluating and assessing the appropriate policies in a public workplace. Putting these health policies into medical, legal and public health practice contexts tends to offer support towards the need to weigh and ensure that the issue of drug abuse is addressed accordingly and to reduce health disparities at a workplace. These law instruments engage informative debates on employee health and the appropriateness of preventing employment to drug and alcohol abusers. The relevance of the law instrument is that it ensures work performance and productivity is on high levels in a workplace.</w:t>
      </w:r>
    </w:p>
    <w:p w:rsidR="00A25BA4" w:rsidRDefault="000D3D37" w:rsidP="000D3D37">
      <w:pPr>
        <w:spacing w:line="480" w:lineRule="auto"/>
        <w:ind w:firstLine="720"/>
        <w:rPr>
          <w:rFonts w:ascii="Times New Roman" w:hAnsi="Times New Roman" w:cs="Times New Roman"/>
          <w:sz w:val="24"/>
          <w:szCs w:val="24"/>
        </w:rPr>
      </w:pPr>
      <w:r w:rsidRPr="000D3D37">
        <w:rPr>
          <w:rFonts w:ascii="Times New Roman" w:hAnsi="Times New Roman" w:cs="Times New Roman"/>
          <w:sz w:val="24"/>
          <w:szCs w:val="24"/>
        </w:rPr>
        <w:t xml:space="preserve">A critical political factor that influenced the prohibition of drugs and alcohol abuse at workplaces is the global alcohol control effects and evolution in international health governance (Stevens, 2010). The WHO Framework Convention on Drug Control provided leadership ways to educate the public on how it reduces drug abuse and its adverse effects </w:t>
      </w:r>
      <w:r w:rsidRPr="000D3D37">
        <w:rPr>
          <w:rFonts w:ascii="Times New Roman" w:hAnsi="Times New Roman" w:cs="Times New Roman"/>
          <w:sz w:val="24"/>
          <w:szCs w:val="24"/>
        </w:rPr>
        <w:lastRenderedPageBreak/>
        <w:t>(Meier, 2016). They have had drug control efforts through tax increase campaigns. The global attention and drug policy responses advocated for the avoidance of drug and alcohol abuse within the workplaces and public areas. Economic factors that affected the implementation of the prohibition of drug and alcohol abuse at a workplace. The adverse effects of alcohol consumption on health and safety constitute an economic burden thus decreasing the standards of living. Massive alcohol abuse at a workplace may lead to the death of the employees (Setlalentoa, 2010). A social factor that affected the implementation of drug prohibition at a workplace is excess consumption of alcohol which negatively affects the community's well being and the cultural norms reinforced by the community leaders. Social community groups are inclined toward the abuse of drugs. Social unacceptability of drugs in society is anchored in changing certain attitudes towards health responsibility (Setlalentoa, 2010). Health responsibility underlying the emerging drug abuse at workplaces tends to expose someone's risk of getting diseases that are related to drug and alcohol abuse. Arguably, the societal attitude reflects a shift from traditional liberation of drug abuse because the costs of drug abuse-related diseases are borne by the society at large thus aiming at discouraging people from alcohol and drug abuse.</w:t>
      </w:r>
    </w:p>
    <w:p w:rsidR="000D3D37" w:rsidRDefault="00527269" w:rsidP="00527269">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summation, it is apparent that t</w:t>
      </w:r>
      <w:r w:rsidRPr="00A5146A">
        <w:rPr>
          <w:rFonts w:ascii="Times New Roman" w:hAnsi="Times New Roman" w:cs="Times New Roman"/>
          <w:sz w:val="24"/>
          <w:szCs w:val="24"/>
        </w:rPr>
        <w:t>he im</w:t>
      </w:r>
      <w:r>
        <w:rPr>
          <w:rFonts w:ascii="Times New Roman" w:hAnsi="Times New Roman" w:cs="Times New Roman"/>
          <w:sz w:val="24"/>
          <w:szCs w:val="24"/>
        </w:rPr>
        <w:t>plemented health policy led to critical</w:t>
      </w:r>
      <w:r w:rsidRPr="00A5146A">
        <w:rPr>
          <w:rFonts w:ascii="Times New Roman" w:hAnsi="Times New Roman" w:cs="Times New Roman"/>
          <w:sz w:val="24"/>
          <w:szCs w:val="24"/>
        </w:rPr>
        <w:t xml:space="preserve"> positive effects on </w:t>
      </w:r>
      <w:r>
        <w:rPr>
          <w:rFonts w:ascii="Times New Roman" w:hAnsi="Times New Roman" w:cs="Times New Roman"/>
          <w:sz w:val="24"/>
          <w:szCs w:val="24"/>
        </w:rPr>
        <w:t xml:space="preserve">the </w:t>
      </w:r>
      <w:r w:rsidRPr="00A5146A">
        <w:rPr>
          <w:rFonts w:ascii="Times New Roman" w:hAnsi="Times New Roman" w:cs="Times New Roman"/>
          <w:sz w:val="24"/>
          <w:szCs w:val="24"/>
        </w:rPr>
        <w:t>health</w:t>
      </w:r>
      <w:r>
        <w:rPr>
          <w:rFonts w:ascii="Times New Roman" w:hAnsi="Times New Roman" w:cs="Times New Roman"/>
          <w:sz w:val="24"/>
          <w:szCs w:val="24"/>
        </w:rPr>
        <w:t xml:space="preserve"> of people and </w:t>
      </w:r>
      <w:r w:rsidRPr="00A5146A">
        <w:rPr>
          <w:rFonts w:ascii="Times New Roman" w:hAnsi="Times New Roman" w:cs="Times New Roman"/>
          <w:sz w:val="24"/>
          <w:szCs w:val="24"/>
        </w:rPr>
        <w:t>workplace policie</w:t>
      </w:r>
      <w:r>
        <w:rPr>
          <w:rFonts w:ascii="Times New Roman" w:hAnsi="Times New Roman" w:cs="Times New Roman"/>
          <w:sz w:val="24"/>
          <w:szCs w:val="24"/>
        </w:rPr>
        <w:t>s aiming at barring employees from</w:t>
      </w:r>
      <w:r w:rsidRPr="00A5146A">
        <w:rPr>
          <w:rFonts w:ascii="Times New Roman" w:hAnsi="Times New Roman" w:cs="Times New Roman"/>
          <w:sz w:val="24"/>
          <w:szCs w:val="24"/>
        </w:rPr>
        <w:t xml:space="preserve"> drug and alcohol abuse. The policy ensures that drug abuse is banned in working environments to ensure that employees and customers have a healthy lifestyle. As part of the employee’s health and safety, employers should enforce the implemented health policies to enhance </w:t>
      </w:r>
      <w:r>
        <w:rPr>
          <w:rFonts w:ascii="Times New Roman" w:hAnsi="Times New Roman" w:cs="Times New Roman"/>
          <w:sz w:val="24"/>
          <w:szCs w:val="24"/>
        </w:rPr>
        <w:t>productivity in the workplace. In addition, e</w:t>
      </w:r>
      <w:r w:rsidRPr="00A5146A">
        <w:rPr>
          <w:rFonts w:ascii="Times New Roman" w:hAnsi="Times New Roman" w:cs="Times New Roman"/>
          <w:sz w:val="24"/>
          <w:szCs w:val="24"/>
        </w:rPr>
        <w:t>very employer should be responsible at maintaining and h</w:t>
      </w:r>
      <w:r>
        <w:rPr>
          <w:rFonts w:ascii="Times New Roman" w:hAnsi="Times New Roman" w:cs="Times New Roman"/>
          <w:sz w:val="24"/>
          <w:szCs w:val="24"/>
        </w:rPr>
        <w:t xml:space="preserve">aving employees’ </w:t>
      </w:r>
      <w:r w:rsidRPr="00A5146A">
        <w:rPr>
          <w:rFonts w:ascii="Times New Roman" w:hAnsi="Times New Roman" w:cs="Times New Roman"/>
          <w:sz w:val="24"/>
          <w:szCs w:val="24"/>
        </w:rPr>
        <w:t>interest</w:t>
      </w:r>
      <w:r>
        <w:rPr>
          <w:rFonts w:ascii="Times New Roman" w:hAnsi="Times New Roman" w:cs="Times New Roman"/>
          <w:sz w:val="24"/>
          <w:szCs w:val="24"/>
        </w:rPr>
        <w:t xml:space="preserve">s in terms of health protection at mind. </w:t>
      </w:r>
      <w:r w:rsidRPr="00A5146A">
        <w:rPr>
          <w:rFonts w:ascii="Times New Roman" w:hAnsi="Times New Roman" w:cs="Times New Roman"/>
          <w:sz w:val="24"/>
          <w:szCs w:val="24"/>
        </w:rPr>
        <w:t>The health policy of preventing drug and alcohol abuse applies to everyone in a working environment including employees, cust</w:t>
      </w:r>
      <w:r>
        <w:rPr>
          <w:rFonts w:ascii="Times New Roman" w:hAnsi="Times New Roman" w:cs="Times New Roman"/>
          <w:sz w:val="24"/>
          <w:szCs w:val="24"/>
        </w:rPr>
        <w:t>omers, vendors, and contractors.</w:t>
      </w:r>
    </w:p>
    <w:p w:rsidR="00E806A4" w:rsidRPr="00A25BA4" w:rsidRDefault="00E806A4" w:rsidP="00A25BA4">
      <w:pPr>
        <w:spacing w:line="480" w:lineRule="auto"/>
        <w:jc w:val="center"/>
        <w:rPr>
          <w:rFonts w:ascii="Times New Roman" w:hAnsi="Times New Roman" w:cs="Times New Roman"/>
          <w:sz w:val="24"/>
          <w:szCs w:val="24"/>
        </w:rPr>
      </w:pPr>
      <w:r w:rsidRPr="00A25BA4">
        <w:rPr>
          <w:rFonts w:ascii="Times New Roman" w:hAnsi="Times New Roman" w:cs="Times New Roman"/>
          <w:sz w:val="24"/>
          <w:szCs w:val="24"/>
        </w:rPr>
        <w:lastRenderedPageBreak/>
        <w:t>References</w:t>
      </w:r>
    </w:p>
    <w:p w:rsidR="005D02F9" w:rsidRDefault="005D02F9" w:rsidP="00A25BA4">
      <w:pPr>
        <w:spacing w:line="480" w:lineRule="auto"/>
        <w:ind w:left="720" w:hanging="720"/>
        <w:rPr>
          <w:rFonts w:ascii="Times New Roman" w:hAnsi="Times New Roman" w:cs="Times New Roman"/>
          <w:color w:val="222222"/>
          <w:sz w:val="24"/>
          <w:szCs w:val="24"/>
          <w:shd w:val="clear" w:color="auto" w:fill="FFFFFF"/>
        </w:rPr>
      </w:pPr>
      <w:r w:rsidRPr="00A25BA4">
        <w:rPr>
          <w:rFonts w:ascii="Times New Roman" w:hAnsi="Times New Roman" w:cs="Times New Roman"/>
          <w:color w:val="222222"/>
          <w:sz w:val="24"/>
          <w:szCs w:val="24"/>
          <w:shd w:val="clear" w:color="auto" w:fill="FFFFFF"/>
        </w:rPr>
        <w:t>Meier, K. J. (2016). </w:t>
      </w:r>
      <w:r w:rsidRPr="00A25BA4">
        <w:rPr>
          <w:rFonts w:ascii="Times New Roman" w:hAnsi="Times New Roman" w:cs="Times New Roman"/>
          <w:i/>
          <w:iCs/>
          <w:color w:val="222222"/>
          <w:sz w:val="24"/>
          <w:szCs w:val="24"/>
          <w:shd w:val="clear" w:color="auto" w:fill="FFFFFF"/>
        </w:rPr>
        <w:t>The Politics of Sin: Drugs, Alcohol and Public Policy: Drugs, Alcohol and Public Policy</w:t>
      </w:r>
      <w:r w:rsidRPr="00A25BA4">
        <w:rPr>
          <w:rFonts w:ascii="Times New Roman" w:hAnsi="Times New Roman" w:cs="Times New Roman"/>
          <w:color w:val="222222"/>
          <w:sz w:val="24"/>
          <w:szCs w:val="24"/>
          <w:shd w:val="clear" w:color="auto" w:fill="FFFFFF"/>
        </w:rPr>
        <w:t>. Routledge.</w:t>
      </w:r>
    </w:p>
    <w:p w:rsidR="00A25BA4" w:rsidRPr="00A25BA4" w:rsidRDefault="00A25BA4" w:rsidP="00A25BA4">
      <w:pPr>
        <w:spacing w:line="480" w:lineRule="auto"/>
        <w:ind w:left="720" w:hanging="720"/>
        <w:rPr>
          <w:rFonts w:ascii="Times New Roman" w:hAnsi="Times New Roman" w:cs="Times New Roman"/>
          <w:color w:val="222222"/>
          <w:sz w:val="24"/>
          <w:szCs w:val="24"/>
          <w:shd w:val="clear" w:color="auto" w:fill="FFFFFF"/>
        </w:rPr>
      </w:pPr>
      <w:r w:rsidRPr="00A25BA4">
        <w:rPr>
          <w:rFonts w:ascii="Times New Roman" w:hAnsi="Times New Roman" w:cs="Times New Roman"/>
          <w:color w:val="222222"/>
          <w:sz w:val="24"/>
          <w:szCs w:val="24"/>
          <w:shd w:val="clear" w:color="auto" w:fill="FFFFFF"/>
        </w:rPr>
        <w:t>Pidd, K., Kostadinov, V., &amp; Roche, A. (2016). Do workplace policies work? An examination of the relationship between alcohol and other drug policies and workers’ substance use. </w:t>
      </w:r>
      <w:r w:rsidRPr="00A25BA4">
        <w:rPr>
          <w:rFonts w:ascii="Times New Roman" w:hAnsi="Times New Roman" w:cs="Times New Roman"/>
          <w:i/>
          <w:iCs/>
          <w:color w:val="222222"/>
          <w:sz w:val="24"/>
          <w:szCs w:val="24"/>
          <w:shd w:val="clear" w:color="auto" w:fill="FFFFFF"/>
        </w:rPr>
        <w:t>International Journal of Drug Policy</w:t>
      </w:r>
      <w:r w:rsidRPr="00A25BA4">
        <w:rPr>
          <w:rFonts w:ascii="Times New Roman" w:hAnsi="Times New Roman" w:cs="Times New Roman"/>
          <w:color w:val="222222"/>
          <w:sz w:val="24"/>
          <w:szCs w:val="24"/>
          <w:shd w:val="clear" w:color="auto" w:fill="FFFFFF"/>
        </w:rPr>
        <w:t>, </w:t>
      </w:r>
      <w:r w:rsidRPr="00A25BA4">
        <w:rPr>
          <w:rFonts w:ascii="Times New Roman" w:hAnsi="Times New Roman" w:cs="Times New Roman"/>
          <w:i/>
          <w:iCs/>
          <w:color w:val="222222"/>
          <w:sz w:val="24"/>
          <w:szCs w:val="24"/>
          <w:shd w:val="clear" w:color="auto" w:fill="FFFFFF"/>
        </w:rPr>
        <w:t>28</w:t>
      </w:r>
      <w:r w:rsidRPr="00A25BA4">
        <w:rPr>
          <w:rFonts w:ascii="Times New Roman" w:hAnsi="Times New Roman" w:cs="Times New Roman"/>
          <w:color w:val="222222"/>
          <w:sz w:val="24"/>
          <w:szCs w:val="24"/>
          <w:shd w:val="clear" w:color="auto" w:fill="FFFFFF"/>
        </w:rPr>
        <w:t>, 48-54.</w:t>
      </w:r>
    </w:p>
    <w:p w:rsidR="00A25BA4" w:rsidRDefault="005D02F9" w:rsidP="00A25BA4">
      <w:pPr>
        <w:spacing w:line="480" w:lineRule="auto"/>
        <w:ind w:left="720" w:hanging="720"/>
        <w:rPr>
          <w:rFonts w:ascii="Times New Roman" w:hAnsi="Times New Roman" w:cs="Times New Roman"/>
          <w:color w:val="222222"/>
          <w:sz w:val="24"/>
          <w:szCs w:val="24"/>
          <w:shd w:val="clear" w:color="auto" w:fill="FFFFFF"/>
        </w:rPr>
      </w:pPr>
      <w:r w:rsidRPr="00A25BA4">
        <w:rPr>
          <w:rFonts w:ascii="Times New Roman" w:hAnsi="Times New Roman" w:cs="Times New Roman"/>
          <w:color w:val="222222"/>
          <w:sz w:val="24"/>
          <w:szCs w:val="24"/>
          <w:shd w:val="clear" w:color="auto" w:fill="FFFFFF"/>
        </w:rPr>
        <w:t>Setlalentoa, B. M. P., Pisa, P. T., Thekisho, G. N., Ryke, E. H., &amp; Loots Du, T. (2010). The social aspects of alcohol misuse/abuse in South Africa. </w:t>
      </w:r>
      <w:r w:rsidRPr="00A25BA4">
        <w:rPr>
          <w:rFonts w:ascii="Times New Roman" w:hAnsi="Times New Roman" w:cs="Times New Roman"/>
          <w:i/>
          <w:iCs/>
          <w:color w:val="222222"/>
          <w:sz w:val="24"/>
          <w:szCs w:val="24"/>
          <w:shd w:val="clear" w:color="auto" w:fill="FFFFFF"/>
        </w:rPr>
        <w:t>South African Journal of Clinical Nutrition</w:t>
      </w:r>
      <w:r w:rsidRPr="00A25BA4">
        <w:rPr>
          <w:rFonts w:ascii="Times New Roman" w:hAnsi="Times New Roman" w:cs="Times New Roman"/>
          <w:color w:val="222222"/>
          <w:sz w:val="24"/>
          <w:szCs w:val="24"/>
          <w:shd w:val="clear" w:color="auto" w:fill="FFFFFF"/>
        </w:rPr>
        <w:t>, </w:t>
      </w:r>
      <w:r w:rsidRPr="00A25BA4">
        <w:rPr>
          <w:rFonts w:ascii="Times New Roman" w:hAnsi="Times New Roman" w:cs="Times New Roman"/>
          <w:i/>
          <w:iCs/>
          <w:color w:val="222222"/>
          <w:sz w:val="24"/>
          <w:szCs w:val="24"/>
          <w:shd w:val="clear" w:color="auto" w:fill="FFFFFF"/>
        </w:rPr>
        <w:t>23</w:t>
      </w:r>
      <w:r w:rsidRPr="00A25BA4">
        <w:rPr>
          <w:rFonts w:ascii="Times New Roman" w:hAnsi="Times New Roman" w:cs="Times New Roman"/>
          <w:color w:val="222222"/>
          <w:sz w:val="24"/>
          <w:szCs w:val="24"/>
          <w:shd w:val="clear" w:color="auto" w:fill="FFFFFF"/>
        </w:rPr>
        <w:t>(sup2), 11-15</w:t>
      </w:r>
      <w:r w:rsidR="00A25BA4">
        <w:rPr>
          <w:rFonts w:ascii="Times New Roman" w:hAnsi="Times New Roman" w:cs="Times New Roman"/>
          <w:color w:val="222222"/>
          <w:sz w:val="24"/>
          <w:szCs w:val="24"/>
          <w:shd w:val="clear" w:color="auto" w:fill="FFFFFF"/>
        </w:rPr>
        <w:t>.</w:t>
      </w:r>
    </w:p>
    <w:p w:rsidR="00A25BA4" w:rsidRDefault="00A25BA4" w:rsidP="00A25BA4">
      <w:pPr>
        <w:spacing w:line="480" w:lineRule="auto"/>
        <w:ind w:left="720" w:hanging="720"/>
        <w:rPr>
          <w:rFonts w:ascii="Times New Roman" w:hAnsi="Times New Roman" w:cs="Times New Roman"/>
          <w:color w:val="222222"/>
          <w:sz w:val="24"/>
          <w:szCs w:val="24"/>
          <w:shd w:val="clear" w:color="auto" w:fill="FFFFFF"/>
        </w:rPr>
      </w:pPr>
      <w:r w:rsidRPr="00A25BA4">
        <w:rPr>
          <w:rFonts w:ascii="Times New Roman" w:hAnsi="Times New Roman" w:cs="Times New Roman"/>
          <w:color w:val="222222"/>
          <w:sz w:val="24"/>
          <w:szCs w:val="24"/>
          <w:shd w:val="clear" w:color="auto" w:fill="FFFFFF"/>
        </w:rPr>
        <w:t>Stevens, A. (2010). </w:t>
      </w:r>
      <w:r w:rsidRPr="00A25BA4">
        <w:rPr>
          <w:rFonts w:ascii="Times New Roman" w:hAnsi="Times New Roman" w:cs="Times New Roman"/>
          <w:i/>
          <w:iCs/>
          <w:color w:val="222222"/>
          <w:sz w:val="24"/>
          <w:szCs w:val="24"/>
          <w:shd w:val="clear" w:color="auto" w:fill="FFFFFF"/>
        </w:rPr>
        <w:t>Drugs, crime and public health: The political economy of drug policy</w:t>
      </w:r>
      <w:r w:rsidRPr="00A25BA4">
        <w:rPr>
          <w:rFonts w:ascii="Times New Roman" w:hAnsi="Times New Roman" w:cs="Times New Roman"/>
          <w:color w:val="222222"/>
          <w:sz w:val="24"/>
          <w:szCs w:val="24"/>
          <w:shd w:val="clear" w:color="auto" w:fill="FFFFFF"/>
        </w:rPr>
        <w:t>. Routledge-Cavendish.</w:t>
      </w:r>
    </w:p>
    <w:p w:rsidR="00A25BA4" w:rsidRPr="00A25BA4" w:rsidRDefault="00A25BA4" w:rsidP="00A25BA4">
      <w:pPr>
        <w:spacing w:line="480" w:lineRule="auto"/>
        <w:ind w:left="720" w:hanging="720"/>
        <w:rPr>
          <w:rFonts w:ascii="Times New Roman" w:hAnsi="Times New Roman" w:cs="Times New Roman"/>
          <w:color w:val="222222"/>
          <w:sz w:val="24"/>
          <w:szCs w:val="24"/>
          <w:shd w:val="clear" w:color="auto" w:fill="FFFFFF"/>
        </w:rPr>
      </w:pPr>
      <w:r w:rsidRPr="00A25BA4">
        <w:rPr>
          <w:rFonts w:ascii="Times New Roman" w:hAnsi="Times New Roman" w:cs="Times New Roman"/>
          <w:color w:val="222222"/>
          <w:sz w:val="24"/>
          <w:szCs w:val="24"/>
          <w:shd w:val="clear" w:color="auto" w:fill="FFFFFF"/>
        </w:rPr>
        <w:t>Young-Wolff, K. C., Hyland, A. J., Desai, R., Sindelar, J., Pilver, C. E., &amp; McKee, S. A. (2013). Smoke-free policies in drinking venues predict transitions in alcohol use disorders in a longitudinal US sample. </w:t>
      </w:r>
      <w:r w:rsidRPr="00A25BA4">
        <w:rPr>
          <w:rFonts w:ascii="Times New Roman" w:hAnsi="Times New Roman" w:cs="Times New Roman"/>
          <w:i/>
          <w:iCs/>
          <w:color w:val="222222"/>
          <w:sz w:val="24"/>
          <w:szCs w:val="24"/>
          <w:shd w:val="clear" w:color="auto" w:fill="FFFFFF"/>
        </w:rPr>
        <w:t>Drug and alcohol dependence</w:t>
      </w:r>
      <w:r w:rsidRPr="00A25BA4">
        <w:rPr>
          <w:rFonts w:ascii="Times New Roman" w:hAnsi="Times New Roman" w:cs="Times New Roman"/>
          <w:color w:val="222222"/>
          <w:sz w:val="24"/>
          <w:szCs w:val="24"/>
          <w:shd w:val="clear" w:color="auto" w:fill="FFFFFF"/>
        </w:rPr>
        <w:t>, </w:t>
      </w:r>
      <w:r w:rsidRPr="00A25BA4">
        <w:rPr>
          <w:rFonts w:ascii="Times New Roman" w:hAnsi="Times New Roman" w:cs="Times New Roman"/>
          <w:i/>
          <w:iCs/>
          <w:color w:val="222222"/>
          <w:sz w:val="24"/>
          <w:szCs w:val="24"/>
          <w:shd w:val="clear" w:color="auto" w:fill="FFFFFF"/>
        </w:rPr>
        <w:t>128</w:t>
      </w:r>
      <w:r w:rsidRPr="00A25BA4">
        <w:rPr>
          <w:rFonts w:ascii="Times New Roman" w:hAnsi="Times New Roman" w:cs="Times New Roman"/>
          <w:color w:val="222222"/>
          <w:sz w:val="24"/>
          <w:szCs w:val="24"/>
          <w:shd w:val="clear" w:color="auto" w:fill="FFFFFF"/>
        </w:rPr>
        <w:t>(3), 214-221.</w:t>
      </w:r>
    </w:p>
    <w:sectPr w:rsidR="00A25BA4" w:rsidRPr="00A25BA4" w:rsidSect="00A25BA4">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7FC6" w:rsidRDefault="00107FC6" w:rsidP="00A25BA4">
      <w:pPr>
        <w:spacing w:after="0" w:line="240" w:lineRule="auto"/>
      </w:pPr>
      <w:r>
        <w:separator/>
      </w:r>
    </w:p>
  </w:endnote>
  <w:endnote w:type="continuationSeparator" w:id="1">
    <w:p w:rsidR="00107FC6" w:rsidRDefault="00107FC6" w:rsidP="00A25BA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7FC6" w:rsidRDefault="00107FC6" w:rsidP="00A25BA4">
      <w:pPr>
        <w:spacing w:after="0" w:line="240" w:lineRule="auto"/>
      </w:pPr>
      <w:r>
        <w:separator/>
      </w:r>
    </w:p>
  </w:footnote>
  <w:footnote w:type="continuationSeparator" w:id="1">
    <w:p w:rsidR="00107FC6" w:rsidRDefault="00107FC6" w:rsidP="00A25BA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BA4" w:rsidRPr="00A25BA4" w:rsidRDefault="00A25BA4">
    <w:pPr>
      <w:pStyle w:val="Header"/>
      <w:jc w:val="right"/>
      <w:rPr>
        <w:rFonts w:ascii="Times New Roman" w:hAnsi="Times New Roman" w:cs="Times New Roman"/>
        <w:sz w:val="24"/>
        <w:szCs w:val="24"/>
      </w:rPr>
    </w:pPr>
    <w:r w:rsidRPr="00A25BA4">
      <w:rPr>
        <w:rFonts w:ascii="Times New Roman" w:hAnsi="Times New Roman" w:cs="Times New Roman"/>
        <w:sz w:val="24"/>
        <w:szCs w:val="24"/>
      </w:rPr>
      <w:t xml:space="preserve">HEALTH POLICY </w:t>
    </w:r>
    <w:r w:rsidRPr="00A25BA4">
      <w:rPr>
        <w:rFonts w:ascii="Times New Roman" w:hAnsi="Times New Roman" w:cs="Times New Roman"/>
        <w:sz w:val="24"/>
        <w:szCs w:val="24"/>
      </w:rPr>
      <w:tab/>
    </w:r>
    <w:r w:rsidRPr="00A25BA4">
      <w:rPr>
        <w:rFonts w:ascii="Times New Roman" w:hAnsi="Times New Roman" w:cs="Times New Roman"/>
        <w:sz w:val="24"/>
        <w:szCs w:val="24"/>
      </w:rPr>
      <w:tab/>
    </w:r>
    <w:sdt>
      <w:sdtPr>
        <w:rPr>
          <w:rFonts w:ascii="Times New Roman" w:hAnsi="Times New Roman" w:cs="Times New Roman"/>
          <w:sz w:val="24"/>
          <w:szCs w:val="24"/>
        </w:rPr>
        <w:id w:val="19334705"/>
        <w:docPartObj>
          <w:docPartGallery w:val="Page Numbers (Top of Page)"/>
          <w:docPartUnique/>
        </w:docPartObj>
      </w:sdtPr>
      <w:sdtContent>
        <w:r w:rsidR="00297151" w:rsidRPr="00A25BA4">
          <w:rPr>
            <w:rFonts w:ascii="Times New Roman" w:hAnsi="Times New Roman" w:cs="Times New Roman"/>
            <w:sz w:val="24"/>
            <w:szCs w:val="24"/>
          </w:rPr>
          <w:fldChar w:fldCharType="begin"/>
        </w:r>
        <w:r w:rsidRPr="00A25BA4">
          <w:rPr>
            <w:rFonts w:ascii="Times New Roman" w:hAnsi="Times New Roman" w:cs="Times New Roman"/>
            <w:sz w:val="24"/>
            <w:szCs w:val="24"/>
          </w:rPr>
          <w:instrText xml:space="preserve"> PAGE   \* MERGEFORMAT </w:instrText>
        </w:r>
        <w:r w:rsidR="00297151" w:rsidRPr="00A25BA4">
          <w:rPr>
            <w:rFonts w:ascii="Times New Roman" w:hAnsi="Times New Roman" w:cs="Times New Roman"/>
            <w:sz w:val="24"/>
            <w:szCs w:val="24"/>
          </w:rPr>
          <w:fldChar w:fldCharType="separate"/>
        </w:r>
        <w:r w:rsidR="00527269">
          <w:rPr>
            <w:rFonts w:ascii="Times New Roman" w:hAnsi="Times New Roman" w:cs="Times New Roman"/>
            <w:noProof/>
            <w:sz w:val="24"/>
            <w:szCs w:val="24"/>
          </w:rPr>
          <w:t>2</w:t>
        </w:r>
        <w:r w:rsidR="00297151" w:rsidRPr="00A25BA4">
          <w:rPr>
            <w:rFonts w:ascii="Times New Roman" w:hAnsi="Times New Roman" w:cs="Times New Roman"/>
            <w:sz w:val="24"/>
            <w:szCs w:val="24"/>
          </w:rPr>
          <w:fldChar w:fldCharType="end"/>
        </w:r>
      </w:sdtContent>
    </w:sdt>
  </w:p>
  <w:p w:rsidR="00A25BA4" w:rsidRPr="00A25BA4" w:rsidRDefault="00A25BA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BA4" w:rsidRPr="00A25BA4" w:rsidRDefault="00A25BA4">
    <w:pPr>
      <w:pStyle w:val="Header"/>
      <w:jc w:val="right"/>
      <w:rPr>
        <w:rFonts w:ascii="Times New Roman" w:hAnsi="Times New Roman" w:cs="Times New Roman"/>
        <w:sz w:val="24"/>
        <w:szCs w:val="24"/>
      </w:rPr>
    </w:pPr>
    <w:r w:rsidRPr="00A25BA4">
      <w:rPr>
        <w:rFonts w:ascii="Times New Roman" w:hAnsi="Times New Roman" w:cs="Times New Roman"/>
        <w:sz w:val="24"/>
        <w:szCs w:val="24"/>
      </w:rPr>
      <w:t>Running Head: HEALTH POLICY</w:t>
    </w:r>
    <w:r w:rsidRPr="00A25BA4">
      <w:rPr>
        <w:rFonts w:ascii="Times New Roman" w:hAnsi="Times New Roman" w:cs="Times New Roman"/>
        <w:sz w:val="24"/>
        <w:szCs w:val="24"/>
      </w:rPr>
      <w:tab/>
    </w:r>
    <w:r w:rsidRPr="00A25BA4">
      <w:rPr>
        <w:rFonts w:ascii="Times New Roman" w:hAnsi="Times New Roman" w:cs="Times New Roman"/>
        <w:sz w:val="24"/>
        <w:szCs w:val="24"/>
      </w:rPr>
      <w:tab/>
    </w:r>
    <w:sdt>
      <w:sdtPr>
        <w:rPr>
          <w:rFonts w:ascii="Times New Roman" w:hAnsi="Times New Roman" w:cs="Times New Roman"/>
          <w:sz w:val="24"/>
          <w:szCs w:val="24"/>
        </w:rPr>
        <w:id w:val="19334640"/>
        <w:docPartObj>
          <w:docPartGallery w:val="Page Numbers (Top of Page)"/>
          <w:docPartUnique/>
        </w:docPartObj>
      </w:sdtPr>
      <w:sdtContent>
        <w:r w:rsidR="00297151" w:rsidRPr="00A25BA4">
          <w:rPr>
            <w:rFonts w:ascii="Times New Roman" w:hAnsi="Times New Roman" w:cs="Times New Roman"/>
            <w:sz w:val="24"/>
            <w:szCs w:val="24"/>
          </w:rPr>
          <w:fldChar w:fldCharType="begin"/>
        </w:r>
        <w:r w:rsidRPr="00A25BA4">
          <w:rPr>
            <w:rFonts w:ascii="Times New Roman" w:hAnsi="Times New Roman" w:cs="Times New Roman"/>
            <w:sz w:val="24"/>
            <w:szCs w:val="24"/>
          </w:rPr>
          <w:instrText xml:space="preserve"> PAGE   \* MERGEFORMAT </w:instrText>
        </w:r>
        <w:r w:rsidR="00297151" w:rsidRPr="00A25BA4">
          <w:rPr>
            <w:rFonts w:ascii="Times New Roman" w:hAnsi="Times New Roman" w:cs="Times New Roman"/>
            <w:sz w:val="24"/>
            <w:szCs w:val="24"/>
          </w:rPr>
          <w:fldChar w:fldCharType="separate"/>
        </w:r>
        <w:r w:rsidR="00527269">
          <w:rPr>
            <w:rFonts w:ascii="Times New Roman" w:hAnsi="Times New Roman" w:cs="Times New Roman"/>
            <w:noProof/>
            <w:sz w:val="24"/>
            <w:szCs w:val="24"/>
          </w:rPr>
          <w:t>1</w:t>
        </w:r>
        <w:r w:rsidR="00297151" w:rsidRPr="00A25BA4">
          <w:rPr>
            <w:rFonts w:ascii="Times New Roman" w:hAnsi="Times New Roman" w:cs="Times New Roman"/>
            <w:sz w:val="24"/>
            <w:szCs w:val="24"/>
          </w:rPr>
          <w:fldChar w:fldCharType="end"/>
        </w:r>
      </w:sdtContent>
    </w:sdt>
  </w:p>
  <w:p w:rsidR="00A25BA4" w:rsidRPr="00A25BA4" w:rsidRDefault="00A25BA4">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A632D"/>
    <w:rsid w:val="00080444"/>
    <w:rsid w:val="000D3D37"/>
    <w:rsid w:val="00107FC6"/>
    <w:rsid w:val="00150425"/>
    <w:rsid w:val="00214861"/>
    <w:rsid w:val="00297151"/>
    <w:rsid w:val="0033256C"/>
    <w:rsid w:val="003E6316"/>
    <w:rsid w:val="004220B3"/>
    <w:rsid w:val="00527269"/>
    <w:rsid w:val="005D02F9"/>
    <w:rsid w:val="006A632D"/>
    <w:rsid w:val="00793D77"/>
    <w:rsid w:val="007E74F0"/>
    <w:rsid w:val="00871847"/>
    <w:rsid w:val="009819BA"/>
    <w:rsid w:val="00A12FB5"/>
    <w:rsid w:val="00A25BA4"/>
    <w:rsid w:val="00A86A02"/>
    <w:rsid w:val="00A9531B"/>
    <w:rsid w:val="00D2351A"/>
    <w:rsid w:val="00D62C56"/>
    <w:rsid w:val="00E806A4"/>
    <w:rsid w:val="00E806C0"/>
    <w:rsid w:val="00F978E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D7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5B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5BA4"/>
  </w:style>
  <w:style w:type="paragraph" w:styleId="Footer">
    <w:name w:val="footer"/>
    <w:basedOn w:val="Normal"/>
    <w:link w:val="FooterChar"/>
    <w:uiPriority w:val="99"/>
    <w:semiHidden/>
    <w:unhideWhenUsed/>
    <w:rsid w:val="00A25BA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25BA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1046</Words>
  <Characters>5963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ADM</cp:lastModifiedBy>
  <cp:revision>2</cp:revision>
  <dcterms:created xsi:type="dcterms:W3CDTF">2019-02-05T23:57:00Z</dcterms:created>
  <dcterms:modified xsi:type="dcterms:W3CDTF">2019-02-05T23:57:00Z</dcterms:modified>
</cp:coreProperties>
</file>